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1159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«Специализированное финансовое общество «Титан»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Пятковой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Надежде </w:t>
      </w:r>
      <w:r>
        <w:rPr>
          <w:rFonts w:ascii="Times New Roman" w:eastAsia="Times New Roman" w:hAnsi="Times New Roman" w:cs="Times New Roman"/>
          <w:sz w:val="28"/>
          <w:szCs w:val="28"/>
        </w:rPr>
        <w:t>Болатовне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06.08.2022, за период с 07.08.2022 по 29.03.2024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«Специализированное финансовое общество «Титан»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Пятковой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Надежде </w:t>
      </w:r>
      <w:r>
        <w:rPr>
          <w:rFonts w:ascii="Times New Roman" w:eastAsia="Times New Roman" w:hAnsi="Times New Roman" w:cs="Times New Roman"/>
          <w:sz w:val="28"/>
          <w:szCs w:val="28"/>
        </w:rPr>
        <w:t>Болатовне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06.08.2022, за период с 07.08.2022 по 29.03.2024,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Пятковой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</w:t>
      </w:r>
      <w:r>
        <w:rPr>
          <w:rFonts w:ascii="Times New Roman" w:eastAsia="Times New Roman" w:hAnsi="Times New Roman" w:cs="Times New Roman"/>
          <w:sz w:val="28"/>
          <w:szCs w:val="28"/>
        </w:rPr>
        <w:t>Болатовны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«Специализированное финансовое общество «Титан»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9702017192, КПП 774301001, ОГРН 1207700172481,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06.08.2022, за период с 07.08.2022 по 29.03.2024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</w:rPr>
        <w:t>985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>тысяч девятьсот восемьдесят 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11 512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9 472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задолженности по процентам)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</w:t>
      </w:r>
      <w:r>
        <w:rPr>
          <w:rFonts w:ascii="Times New Roman" w:eastAsia="Times New Roman" w:hAnsi="Times New Roman" w:cs="Times New Roman"/>
          <w:sz w:val="28"/>
          <w:szCs w:val="28"/>
        </w:rPr>
        <w:t>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апреля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159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7">
    <w:name w:val="cat-UserDefined grp-22 rplc-7"/>
    <w:basedOn w:val="DefaultParagraphFont"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UserDefinedgrp-23rplc-20">
    <w:name w:val="cat-UserDefined grp-23 rplc-20"/>
    <w:basedOn w:val="DefaultParagraphFont"/>
  </w:style>
  <w:style w:type="character" w:customStyle="1" w:styleId="cat-UserDefinedgrp-22rplc-26">
    <w:name w:val="cat-UserDefined grp-22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